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（2022年）广东省湛江市会计从业资格财经法规测试卷含答案</w:t>
      </w:r>
    </w:p>
    <w:p/>
    <w:p/>
    <w:p>
      <w:pPr/>
      <w:r>
        <w:rPr>
          <w:rStyle w:val="myStyle"/>
        </w:rPr>
        <w:t xml:space="preserve">
</w:t>
      </w:r>
    </w:p>
    <w:p/>
    <w:p>
      <w:pPr/>
      <w:r>
        <w:rPr>
          <w:rStyle w:val="myStyle"/>
        </w:rPr>
        <w:t xml:space="preserve">
	（2022年）广东省湛江市会计从业资格财经法规测试卷（含答案）学校:班级:姓名:考号:
</w:t>
      </w:r>
    </w:p>
    <w:p/>
    <w:p>
      <w:pPr/>
      <w:r>
        <w:rPr>
          <w:rStyle w:val="myStyle"/>
        </w:rPr>
        <w:t xml:space="preserve">
	一、单选题（10题）.反映公司、企业现金和现金等价物的流入和流出情况的会计报表是（）A.资产负债表B.利润表C现金流量表D.股东权益增减变动表.下列关于税收强制执行措施的表述中，正确的是（）A.税收强制执行措施不适用于扣缴义务人B.作为家庭唯一代步工具的轿车，不在税收强制执行的范围之内C税务机关采取强制执行措施时，可对纳税人未缴纳的滞纳金同时强制执行D.税务机关可对未按期缴纳工薪收入个人所得税的个人实施税收强制执行措施
</w:t>
      </w:r>
    </w:p>
    <w:p/>
    <w:p>
      <w:pPr/>
      <w:r>
        <w:rPr>
          <w:rStyle w:val="myStyle"/>
        </w:rPr>
        <w:t xml:space="preserve">
	3.2014年4月，某电器修理部（小规模纳税人）取得含税修理收入20600元，则相关应纳增值税额是（）元A.300B.600C.750D.
</w:t>
      </w:r>
    </w:p>
    <w:p/>
    <w:p>
      <w:pPr/>
      <w:r>
        <w:rPr>
          <w:rStyle w:val="myStyle"/>
        </w:rPr>
        <w:t xml:space="preserve">
	12004.行政法规是由（）发布的规范性文件A.国务院B.全国人民代表大会C.省人民代表大会D.全国人民代表大会常务委员会天.A《票据法》、《支付结算办法》是调整票据管理和票据流通关系的金融法律制度；《保险法》调整保险关系的法律规范.D根据《会计法》规定，担任会计机构负责人必须具备的条件如下:取得会计从业资格证书；具备会计师以上专业技术职务资格；从事会计工作三年以上经历.ABCD
</w:t>
      </w:r>
    </w:p>
    <w:p/>
    <w:p>
      <w:pPr/>
      <w:r>
        <w:rPr>
          <w:rStyle w:val="myStyle"/>
        </w:rPr>
        <w:t xml:space="preserve">
	9.ABCD【解析】本题考点是税务登记证的使用.ACD会计核算应当按照规定的会计处理方法进行，选项B:“会计指标应当口径一致、相互可比这并非客观性原则的要求而是可比性原则的要求.ABCD【考点】会计职业道德教育的主要内容【解析】会计职业道德教育的主要内容包括会计职业道德观念教育；会计职业道德规范教育；会计职业道德警示教育；其他与会计职业道德相关的教育，包括形势教育、品德教育等故以上选项都正确.ABC会计监督是会计的基本职能之一，依照《会计法》的规定，我国会计监督的种类包括单位内部监督、政府监督、社会监督故选ABC.ACD行政违法性不是犯罪的特征.ACD本题考核会计人员交接中移交点收的规定本题中ACD项符合会计工作交接中关于移交点收的规定，故选ACD.ACD解析本题主要考查核定应纳税额的情形，选项AC、D都属于税务机关有权核定其应纳税额的情形.CD按照税法的功能作用的不同，将税法分为税收实体法和税收程序法.ACD银行结算账户是指存款人在经办银行开立的办理资金收付结算的人民币活期存款账户.ABCD必要时由主管部门派人会同监交的情况有
</w:t>
      </w:r>
    </w:p>
    <w:p/>
    <w:p>
      <w:pPr/>
      <w:r>
        <w:rPr>
          <w:rStyle w:val="myStyle"/>
        </w:rPr>
        <w:t xml:space="preserve">
	①所属单位负责人不能监交；
</w:t>
      </w:r>
    </w:p>
    <w:p/>
    <w:p>
      <w:pPr/>
      <w:r>
        <w:rPr>
          <w:rStyle w:val="myStyle"/>
        </w:rPr>
        <w:t xml:space="preserve">
	②所属单位负责人拖延监交；
</w:t>
      </w:r>
    </w:p>
    <w:p/>
    <w:p>
      <w:pPr/>
      <w:r>
        <w:rPr>
          <w:rStyle w:val="myStyle"/>
        </w:rPr>
        <w:t xml:space="preserve">
	③不宜由所属单位负责人单独监交；
</w:t>
      </w:r>
    </w:p>
    <w:p/>
    <w:p>
      <w:pPr/>
      <w:r>
        <w:rPr>
          <w:rStyle w:val="myStyle"/>
        </w:rPr>
        <w:t xml:space="preserve">
	④主管部门认为交接中存在问题.D根据题意，只有事项
</w:t>
      </w:r>
    </w:p>
    <w:p/>
    <w:p>
      <w:pPr/>
      <w:r>
        <w:rPr>
          <w:rStyle w:val="myStyle"/>
        </w:rPr>
        <w:t xml:space="preserve">
	（5）销售化妆品属于消费税征税项目目前化妆品税目下多种商品，都被征收30%的消费税而消费税属于价内税因此该企业本月应缴纳的消费税额=
</w:t>
      </w:r>
    </w:p>
    <w:p/>
    <w:p>
      <w:pPr/>
      <w:r>
        <w:rPr>
          <w:rStyle w:val="myStyle"/>
        </w:rPr>
        <w:t xml:space="preserve">
	586.17+（l+17%）x30%=
</w:t>
      </w:r>
    </w:p>
    <w:p/>
    <w:p>
      <w:pPr/>
      <w:r>
        <w:rPr>
          <w:rStyle w:val="myStyle"/>
        </w:rPr>
        <w:t xml:space="preserve">
	150.30（万元）.D一般纳税人销售商品计算增值税销项税的依据是不合税销售额，但价外费用也是计算的依据和组成部分所以本案中16320+1170/（l+17%）xl7%=16320+170=16490故选Do.AD支票的绝对记载事项有6项⑴表明“支票”的字样；
</w:t>
      </w:r>
    </w:p>
    <w:p/>
    <w:p>
      <w:pPr/>
      <w:r>
        <w:rPr>
          <w:rStyle w:val="myStyle"/>
        </w:rPr>
        <w:t xml:space="preserve">
	（2）无条件支付的委托；
</w:t>
      </w:r>
    </w:p>
    <w:p/>
    <w:p>
      <w:pPr/>
      <w:r>
        <w:rPr>
          <w:rStyle w:val="myStyle"/>
        </w:rPr>
        <w:t xml:space="preserve">
	（3）确定的金额；
</w:t>
      </w:r>
    </w:p>
    <w:p/>
    <w:p>
      <w:pPr/>
      <w:r>
        <w:rPr>
          <w:rStyle w:val="myStyle"/>
        </w:rPr>
        <w:t xml:space="preserve">
	（4）付款人名称；
</w:t>
      </w:r>
    </w:p>
    <w:p/>
    <w:p>
      <w:pPr/>
      <w:r>
        <w:rPr>
          <w:rStyle w:val="myStyle"/>
        </w:rPr>
        <w:t xml:space="preserve">
	（5）出票日期；
</w:t>
      </w:r>
    </w:p>
    <w:p/>
    <w:p>
      <w:pPr/>
      <w:r>
        <w:rPr>
          <w:rStyle w:val="myStyle"/>
        </w:rPr>
        <w:t xml:space="preserve">
	（6）出票人签章其中支票的金额、收款人名称可以由出票人授权补记，未补记前不得背书转让和提示付款.ACD本题考核原始凭证的更正根据规定，原始凭证的金额出现错误的不得更正，只能由原始凭证开具单位重新开具故选ACD.ACD根据规定，以虚假的经济业务事项为前提编造不真实的会计凭证、会计账簿和其他会计资料，属于伪造会计凭证、会计账簿和其他会计资料行为通过编造虚假的会计凭证、会计账簿及其他会计资料或直接篡改财务会计报告上的数据，使财务会计报告不真实、不完整地反映财务状况和经营成果，借以误导、欺骗财务会计报告使用者的行为.属于提供虚假的财务会计报告的行为.BCD持票人（收款人或最后一手的被背书人）拥有对银行承兑汇票的付款请求权和追索权，丁公司如果不将票据再转让，就是最后一手的被背书人，也就是持票人只要出票人或背书人在票据上没记载“不得转让’等类似文句以禁止票据权利的转让，就可背书转让给其他企业故选BCD.BC本题考核廉洁自律刘某的观点不正确，会计职业道德规范的主要内容是爱岗敬业、诚实守信等，包括廉洁自律和强化服务要做到廉洁自律，首先要求会计人员必须树立正确的人生观和价值观故选BCO.ABC本题考核出票人的签章，出票人为单位的，为与该单位在银行预留签章一致的财务专用章与者公章加其法定代表人或者其授权的代理人的签名或者盖章；出票人为个人的，为与该个人在银行预留签章一致的签名或盖章故选ABC.A本题考核设置会计机构的问题，该企业是大型国有企业，达到设置会计机构的条件了，所以选A【专家评析】根据《金Jt所〃税法》的现定?金业发生的与生产经管布具的业务招待费支出?按照发生酬的60%扣旅但最高不得理过当年（营业）收入的5%出过允许权仪扣除部分的业务
</w:t>
      </w:r>
    </w:p>
    <w:p/>
    <w:p>
      <w:pPr/>
      <w:r>
        <w:rPr>
          <w:rStyle w:val="myStyle"/>
        </w:rPr>
        <w:t xml:space="preserve">
	30.AD招待费?不挣在以后的税年度姑“加唉?
</w:t>
      </w:r>
    </w:p>
    <w:p/>
    <w:p>
      <w:pPr/>
      <w:r>
        <w:rPr>
          <w:rStyle w:val="myStyle"/>
        </w:rPr>
        <w:t xml:space="preserve">
	31.C根据会计法律制度的有关部门规定，接管人员发现“白条顶库”现象时，移交人员在规定期限内负责查清处理故选C
</w:t>
      </w:r>
    </w:p>
    <w:p/>
    <w:p>
      <w:pPr/>
      <w:r>
        <w:rPr>
          <w:rStyle w:val="myStyle"/>
        </w:rPr>
        <w:t xml:space="preserve">
	32.C【答案】Co解析中国人民解放军总后勤部可以依照《会计法》和国家统一的会计制度制定军队实施国家统一的会计制度的具体办法，报国务院财政部门备案
</w:t>
      </w:r>
    </w:p>
    <w:p/>
    <w:p>
      <w:pPr/>
      <w:r>
        <w:rPr>
          <w:rStyle w:val="myStyle"/>
        </w:rPr>
        <w:t xml:space="preserve">
	33.A第12题忠于职守是（）的基本要求A.爰岗敬业b.参与竹理c.强化服务D.军持所用第5题会计职业道德教育的主要内容包括（）oA.会计职业适植警示教育、会计职业义务教育、会计职业荣誉鞅育B.会il职业道曲中含教育，会IRW义务教育、会”职业汶制赛会教育C.会计职业道检飙建教育、会计岖业普小教育、会计职业规范教育D.会il职针道检禁会教育、会计职V权利教育、会U职”喋誉教育会计机构、会计人员对不真实、不合法的原始凭证应该（）oA.不予受理B.予以退回C.予以销毁D.要求更正信用卡透支期限最长为（）天A.30B.60C.90D.120第12题调整银行业务关系的金融法律规范是（）A.《商业银行法》B.《票据法》C《支付结算办法》D.《保险法》
</w:t>
      </w:r>
    </w:p>
    <w:p/>
    <w:p>
      <w:pPr/>
      <w:r>
        <w:rPr>
          <w:rStyle w:val="myStyle"/>
        </w:rPr>
        <w:t xml:space="preserve">
	10.根据《会计法》规定，下列（）不属于担任会计机构负责人所必须具备的条件A.取得会计从业资格证书B.具备会计师以上专业技术职务资格C.从事会计工作三年以上经历D.具备研究生以上学历
</w:t>
      </w:r>
    </w:p>
    <w:p/>
    <w:p>
      <w:pPr/>
      <w:r>
        <w:rPr>
          <w:rStyle w:val="myStyle"/>
        </w:rPr>
        <w:t xml:space="preserve">
	二、多选题（10题）
</w:t>
      </w:r>
    </w:p>
    <w:p/>
    <w:p>
      <w:pPr/>
      <w:r>
        <w:rPr>
          <w:rStyle w:val="myStyle"/>
        </w:rPr>
        <w:t xml:space="preserve">
	11.
</w:t>
      </w:r>
    </w:p>
    <w:p/>
    <w:p>
      <w:pPr/>
      <w:r>
        <w:rPr>
          <w:rStyle w:val="myStyle"/>
        </w:rPr>
        <w:t xml:space="preserve">
	9.《税收征收管理法》规定，除按照规定不需要发给税务登记证件的以外，纳税人办理（）事项时，必须持税务登记证件A.开立银行账户B.领购发票C.办理停业、歇业D.申请减、免、退税
</w:t>
      </w:r>
    </w:p>
    <w:p/>
    <w:p>
      <w:pPr/>
      <w:r>
        <w:rPr>
          <w:rStyle w:val="myStyle"/>
        </w:rPr>
        <w:t xml:space="preserve">
	12.第49题会计核算的一般原则中客观性原则的含义是（）A.会计核算应当真实反映会“L体的财务状况和经营成果B.会计指标应当口径一粒、桁均打比C.盍il核尊应当准确反映会il匕体的财务情况D.会计核算阎当具仃可验证性A.会il职业道?就名教向B☆计职业进?现患教育C士计职业阻?门出履今0余计职业酒■■不发.会计监督是会计的基本职能之一，依照《会计法》的规定，我国会计监督的种类包括（）A.单位内部监督B.政府监督C.社会监督D.单位上级主管部门的监督.第65题犯罪具有（）特征A.严重的社会危害性B.行政违法性C.刑事违法性D.应受刑罚处罚性.在办理会计工作交接时，交接双方要按照移交清册列明的内容，进行逐项交接，具体要求是（）oA.现金要根据会计账簿记录余额进行当面点交，不得短缺B.有价证券的数量要与会计账簿记录一致，由于一些有价证券，如债券、国库券票面金额与发行价格可能会不一致，因此也可以与账簿记录不一致C.移交人员经管的票据、印章及其他会计用品等，也必须交接清楚D.所有会计资料必须完整无缺.下列各项中，税务机关有权核定其应纳税额的有（）0A.依照法律、行政法规的规定可以不设置账簿的B.依照法律、行政法规规定设立账簿，核算较为规范的C擅自销毁账簿或者拒不提供纳税资料的D.纳税人申报的计税依据明显偏低又无正当理由的.按照税法的功能作用的不同，将税法分为（）A.税收普通法B.税收基本法C.税收实体法D.税收程序法.下列各项中，属于银行结算账户特点的有（）0A.活期存款账户B.定期存款账户C.办理资金收付业务D.办理人民币业务.第32题必要时由主管部门派人会同监交的情况有（）oA.单位负责人不能乱交B.单位负货人拖延络交C.不宜由单位负击人单独监交D.】瞥部门k为全推中〃〃句胭
</w:t>
      </w:r>
    </w:p>
    <w:p/>
    <w:p>
      <w:pPr/>
      <w:r>
        <w:rPr>
          <w:rStyle w:val="myStyle"/>
        </w:rPr>
        <w:t xml:space="preserve">
	三、案例分析题（10题）.该企业本月应缴纳的消费税为（）万元查看材料A.
</w:t>
      </w:r>
    </w:p>
    <w:p/>
    <w:p>
      <w:pPr/>
      <w:r>
        <w:rPr>
          <w:rStyle w:val="myStyle"/>
        </w:rPr>
        <w:t xml:space="preserve">
	100.20B.
</w:t>
      </w:r>
    </w:p>
    <w:p/>
    <w:p>
      <w:pPr/>
      <w:r>
        <w:rPr>
          <w:rStyle w:val="myStyle"/>
        </w:rPr>
        <w:t xml:space="preserve">
	175.85C.
</w:t>
      </w:r>
    </w:p>
    <w:p/>
    <w:p>
      <w:pPr/>
      <w:r>
        <w:rPr>
          <w:rStyle w:val="myStyle"/>
        </w:rPr>
        <w:t xml:space="preserve">
	117.23D.
</w:t>
      </w:r>
    </w:p>
    <w:p/>
    <w:p>
      <w:pPr/>
      <w:r>
        <w:rPr>
          <w:rStyle w:val="myStyle"/>
        </w:rPr>
        <w:t xml:space="preserve">
	150.
</w:t>
      </w:r>
    </w:p>
    <w:p/>
    <w:p>
      <w:pPr/>
      <w:r>
        <w:rPr>
          <w:rStyle w:val="myStyle"/>
        </w:rPr>
        <w:t xml:space="preserve">
	30.销售A商品80件的业务中销项税额为（A.OB.16320C.16518D.
</w:t>
      </w:r>
    </w:p>
    <w:p/>
    <w:p>
      <w:pPr/>
      <w:r>
        <w:rPr>
          <w:rStyle w:val="myStyle"/>
        </w:rPr>
        <w:t xml:space="preserve">
	16490.根据《票据法》规定，下列各项中，支票的出票人可授权补记的有（）o查看材料A.支票金额B.出票日期C.付款人名称D.收款人名称.原始凭证的（）填写错误的，可以更改并在更改处盖章A.填制凭证的日期B.金额C经济业务内容D.经办人员签名.对甲公司以虚假的经济事项编造了会计凭证和会计账簿，并据此编制了财务会计报告的行为应认定为（）o查看材料A.伪造会计凭证行为B.变造会计凭证和会计账簿行为C.伪造会计账簿行为D.提供虚假的财务会计报告行为.本案例中，丁公司可以（）A.是银行承兑汇票的收款人B.拥有对银行承兑汇票的付款请求权和追索权C.再把银行承兑汇票背书转让其他企业D.再把银行承兑汇票背书转让给甲企业.下列关于职业道德的说中正确的有（）A.会计刘某的观点正确B.只要是会计人员就必须做到“常在河边走，就是不湿鞋”C.廉洁自律是会计职业声誉的“试金石”D.要做到廉洁自律，首先要求会计人员必须公私分明，不贪不占.甲公司在出票时的签章，以下有关说法正确的是（章，加盖法定代表人与其授权的代理人的签名或者盖章B.如果甲公司的签章不符合规定，该支票无效C.根据规定，出票人（甲公司）在票据上的签章不符合规定的，票据无效D.根据规定，出票人（甲公司）在票据上的签章不符合规定的，签章无效，不影响票据的效力.案例中的企业应该（）0A.设置会计机构B.在有关机构中设置会计人员并指定会计主管人员C.委托批准设立从事会计代理记账业务的中介机构代理记账D.可以不处理会计事务.根据下面内容，回答下列各题
</w:t>
      </w:r>
    </w:p>
    <w:p/>
    <w:p>
      <w:pPr/>
      <w:r>
        <w:rPr>
          <w:rStyle w:val="myStyle"/>
        </w:rPr>
        <w:t xml:space="preserve">
	（二十）伟达公司2013年共实现税前收入总额1800万元，其中产品销售收入1600万元，国库券利息收入200万元发生各项成本费用共计1250万元，其中合理的工资薪金总额175万元，业务招待费90万元，职工福利费45万元，职工教育经费3万元，工会经费9万元，税收滞纳金15万元，提取的各项准备金支出100万元（均未经税务部门批准）其他成本费用支出均符合税法规定（企业所得税税率为
</w:t>
      </w:r>
    </w:p>
    <w:p/>
    <w:p>
      <w:pPr/>
      <w:r>
        <w:rPr>
          <w:rStyle w:val="myStyle"/>
        </w:rPr>
        <w:t xml:space="preserve">
	250.4）要求根据资料，回答下列问题下列关于业务招待费的说法，正确的有（）oA.允许税前扣除的业务招待费为8万元B.允许税前扣除的业务招待费为54万元C.超过允许税前扣除部分的业务招待费，准予在以后纳税年度结转扣除D.超过允许税前扣除部分的业务招待费，不得在以后纳税年度结转扣除
</w:t>
      </w:r>
    </w:p>
    <w:p/>
    <w:p>
      <w:pPr/>
      <w:r>
        <w:rPr>
          <w:rStyle w:val="myStyle"/>
        </w:rPr>
        <w:t xml:space="preserve">
	四、单选题（0题）
</w:t>
      </w:r>
    </w:p>
    <w:p/>
    <w:p>
      <w:pPr/>
      <w:r>
        <w:rPr>
          <w:rStyle w:val="myStyle"/>
        </w:rPr>
        <w:t xml:space="preserve">
	31.根据会计法律制度的有关规定，在会计工作交接过程中，发现“白条顶库”现象，应采取的做法是（）oA.由监交人员负责查清处理B.由接管人员负责查清处理C.由移交人员在规定期限内负责查清处理D.由会计档案管理人员负责查清处理
</w:t>
      </w:r>
    </w:p>
    <w:p/>
    <w:p>
      <w:pPr/>
      <w:r>
        <w:rPr>
          <w:rStyle w:val="myStyle"/>
        </w:rPr>
        <w:t xml:space="preserve">
	五、单选题（0题）32冲国人民解放军总后勤部可以依照《会计法》和国家统一的会计制度制定军队实施国家统一的会计制度的具体办法，报0备案A.国务院B.中央军委C.国务院财政部门D.国家审计部门
</w:t>
      </w:r>
    </w:p>
    <w:p/>
    <w:p>
      <w:pPr/>
      <w:r>
        <w:rPr>
          <w:rStyle w:val="myStyle"/>
        </w:rPr>
        <w:t xml:space="preserve">
	六、单选题（0题）
</w:t>
      </w:r>
    </w:p>
    <w:p/>
    <w:p>
      <w:pPr/>
      <w:r>
        <w:rPr>
          <w:rStyle w:val="myStyle"/>
        </w:rPr>
        <w:t xml:space="preserve">
	33.第21题会计从业资格考试大纲由（）统一制度发布A.财政部B.国务院C.省财政厅D.国家继续教育部门参考答案LC［答案］C［解答］反映公司、企业现金和现金等价物的流入和流出情况的会计报表是现金流量表
</w:t>
      </w:r>
    </w:p>
    <w:p/>
    <w:p>
      <w:pPr/>
      <w:r>
        <w:rPr>
          <w:rStyle w:val="myStyle"/>
        </w:rPr>
        <w:t xml:space="preserve">
	2.C
</w:t>
      </w:r>
    </w:p>
    <w:p/>
    <w:p>
      <w:pPr/>
      <w:r>
        <w:rPr>
          <w:rStyle w:val="myStyle"/>
        </w:rPr>
        <w:t xml:space="preserve">
	（1）税收强制执行不仅适用于从事生产经营的纳税人，而且适用于扣缴义务人和纳税担保人.因此A选项说法不正确⑵个人及其抚养家属维持生活必需的住房和用品，不在税收强制执行的范围之内生活必需的住房和用品不包括机动车辆、金银饰品、古玩字画、豪华住宅或者一处以外的住房，因此B选项也不正确3税务机关可对纳税人未缴纳的滞纳金同时强制执行，C选项正确4强制执行适用于从事生产经营的纳税人、扣缴义务人和纳税担保人，而工薪收入个人所得税的个人不属于强制执行的适用范围，D选项错误
</w:t>
      </w:r>
    </w:p>
    <w:p/>
    <w:p>
      <w:pPr/>
      <w:r>
        <w:rPr>
          <w:rStyle w:val="myStyle"/>
        </w:rPr>
        <w:t xml:space="preserve">
	3.B本题考查增值税小规模纳税人应纳税额的计算方法.A行政法规是由国务院制定和发布的规范性文件考生应举一反三，注意我国法律规范构成的层次宪法、法律、行政法规、地方性法规、规章，明确它们各自的制定和发布机关.A职守涉及的是岗位，因此选爱岗敬业是最合适的归类.A会计职业道德教育的内容包括以下几个方面会计职业道德观念教育、会计职业道德规范教育、会计职业道德警示教育和其他与会计职业道德相关的教育如法制教育、形势教育、政策教育等.A【答案】Ao解析本题主要考查会计凭证的规定会计机构、会计人员对不真实、不合法的原始凭证，有权不予受理，并向单位负责人报告，请求查明原因，追究有关当事人的责任故选A
</w:t>
      </w:r>
    </w:p>
    <w:p/>
    <w:p>
      <w:pPr/>
      <w:r>
        <w:rPr>
          <w:rStyle w:val="myStyle"/>
        </w:rPr>
        <w:t xml:space="preserve">
	8.B根据《支付结算办法》第153条的规定，信用卡透支期限最长为60。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2023-10-11T09:51:17+08:00</dcterms:created>
  <dcterms:modified xsi:type="dcterms:W3CDTF">2023-10-11T09:51:17+08:00</dcterms:modified>
</cp:coreProperties>
</file>

<file path=docProps/custom.xml><?xml version="1.0" encoding="utf-8"?>
<Properties xmlns="http://schemas.openxmlformats.org/officeDocument/2006/custom-properties" xmlns:vt="http://schemas.openxmlformats.org/officeDocument/2006/docPropsVTypes"/>
</file>