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教肓局人事工作计划</w:t>
      </w:r>
    </w:p>
    <w:p/>
    <w:p/>
    <w:p>
      <w:pPr/>
      <w:r>
        <w:rPr>
          <w:rStyle w:val="myStyle"/>
        </w:rPr>
        <w:t xml:space="preserve">　　人事工作计划怎么写，欢迎阅读</w:t>
      </w:r>
    </w:p>
    <w:p/>
    <w:p>
      <w:pPr/>
      <w:r>
        <w:rPr>
          <w:rStyle w:val="myStyle"/>
        </w:rPr>
        <w:t xml:space="preserve">　　教肓局人事工作计划(一)</w:t>
      </w:r>
    </w:p>
    <w:p/>
    <w:p>
      <w:pPr/>
      <w:r>
        <w:rPr>
          <w:rStyle w:val="myStyle"/>
        </w:rPr>
        <w:t xml:space="preserve">　　20XX年，人事科要紧紧围绕教育局中心工作，以建设一支结构合理、素质优良、充满生机与活力的中小学教师队伍为目标，深化人事制度改革，完善管理体制，转变运行机制，加强教师教育的统筹管理，树立新的发展观、质量观，以新的思路实现新的突破，以新的举措开创新的局面。</w:t>
      </w:r>
    </w:p>
    <w:p/>
    <w:p>
      <w:pPr/>
      <w:r>
        <w:rPr>
          <w:rStyle w:val="myStyle"/>
        </w:rPr>
        <w:t xml:space="preserve">　　一、深化中小学人事制度改革</w:t>
      </w:r>
    </w:p>
    <w:p/>
    <w:p>
      <w:pPr/>
      <w:r>
        <w:rPr>
          <w:rStyle w:val="myStyle"/>
        </w:rPr>
        <w:t xml:space="preserve">　　1、继续推进中小学教职工编制核定工作。编制核定后，认真做好定岗定员工作，把握政策规定，实行竞争上岗。</w:t>
      </w:r>
    </w:p>
    <w:p/>
    <w:p>
      <w:pPr/>
      <w:r>
        <w:rPr>
          <w:rStyle w:val="myStyle"/>
        </w:rPr>
        <w:t xml:space="preserve">　　2、推进教师考核工作。重点加强对教师工作业绩和业务水平的考核，建立起一整套常规管理制度。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2023-05-26T22:00:53+08:00</dcterms:created>
  <dcterms:modified xsi:type="dcterms:W3CDTF">2023-05-26T22:00:53+08:00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