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2015年人事部门年度工作计划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一、基层司法所工作
</w:t>
      </w:r>
    </w:p>
    <w:p/>
    <w:p>
      <w:pPr/>
      <w:r>
        <w:rPr>
          <w:rStyle w:val="myStyle"/>
        </w:rPr>
        <w:t xml:space="preserve">
	1、继续做好司法所国债项目建设工作。力争在20XX年6月底全面完成司法所的国债项目建设任务。
</w:t>
      </w:r>
    </w:p>
    <w:p/>
    <w:p>
      <w:pPr/>
      <w:r>
        <w:rPr>
          <w:rStyle w:val="myStyle"/>
        </w:rPr>
        <w:t xml:space="preserve">
	2、抓好以业务工作、所务管理为重点的规范化建设，逐步改善司法所办公设施装备，提升司法所整体运作水平。
</w:t>
      </w:r>
    </w:p>
    <w:p/>
    <w:p>
      <w:pPr/>
      <w:r>
        <w:rPr>
          <w:rStyle w:val="myStyle"/>
        </w:rPr>
        <w:t xml:space="preserve">
	3、进一步加强司法所的管理和司法行政队伍与业务建设。争取各级领导的重视，配齐基层司法所专职人员。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2023-06-26T22:34:33+08:00</dcterms:created>
  <dcterms:modified xsi:type="dcterms:W3CDTF">2023-06-26T22:34:33+08:00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