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榆林市中小学教师校本研修学分认定赋分参考</w:t>
      </w:r>
    </w:p>
    <w:p/>
    <w:p/>
    <w:p>
      <w:pPr/>
      <w:r>
        <w:rPr>
          <w:rStyle w:val="myStyle"/>
        </w:rPr>
        <w:t xml:space="preserve">榆林市中小学教师校本研修学分认定赋分参考项目考评标准及要求分值要求研修主题贴近教学，主题突出5在报告单体现研修计划设计科学，目标明确，方法得当，研修计划10在报告单体现内容详实，安排合理讲座必须是学校安排或者承担了研修专题讲座（省级10分、市级8分、教研组安排教科县级6分、校级4分）、示范教学（省级8处备档的，示范分、市级6分、县级4分、校级2分）、课题教学必须是教务研究（国家级10分、省级8分、市级6分、处或者教科处安县级4分、校级2分）任务；教育教学理论学排的指导教师习笔记每学年不少于10000字（3分）、“大为师徒帮教互助活动记录45家访”每学年不少于20次并有过程性材料（3结对社团负责分）、承担班主任工作（8分）、参与校本教人和班主任同等材编写（3分）、指导青年教师（2分）、每对待课题结题学年听评课不少于40节并有过程性材料（3者赋满分，参与分）（以上考核单项累计超出满分者以满分记者赋一半分，未分）结题的赋一半分研修总结能如实反映研修计划完成情况，研修总结10在报告单体现阶段成果、存在问题及今后举措在教育行政部门主管，教科研部门、高校主办的刊物发表论文或在交流评选中获奖（国家级10分、省级8分、市级6分、县级2分），本人或培养教师被评为教学能手（省级10分、提交论文、获奖研修成市级8分、县级6分、校级4分），有现代教20证书复印件育技术类、自制教具类、指导学生作品类教学成果（省级10分、市级8分、县级6分、校级4分），以上考核单项累计超出满分者以满分记分积极参加各类远程培训、集中培训活动且提交培训记录证研修学时不少于4学时10明所有材料必须真实，如有造假者一经发现以不合格对待。</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2023-05-21T16:05:19+08:00</dcterms:created>
  <dcterms:modified xsi:type="dcterms:W3CDTF">2023-05-21T16:05:19+08:00</dcterms:modified>
</cp:coreProperties>
</file>

<file path=docProps/custom.xml><?xml version="1.0" encoding="utf-8"?>
<Properties xmlns="http://schemas.openxmlformats.org/officeDocument/2006/custom-properties" xmlns:vt="http://schemas.openxmlformats.org/officeDocument/2006/docPropsVTypes"/>
</file>