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山西省临汾市会计从业资格财经法规测试卷含答案</w:t>
      </w:r>
    </w:p>
    <w:p/>
    <w:p/>
    <w:p>
      <w:pPr/>
      <w:r>
        <w:rPr>
          <w:rStyle w:val="myStyle"/>
        </w:rPr>
        <w:t xml:space="preserve">
</w:t>
      </w:r>
    </w:p>
    <w:p/>
    <w:p>
      <w:pPr/>
      <w:r>
        <w:rPr>
          <w:rStyle w:val="myStyle"/>
        </w:rPr>
        <w:t xml:space="preserve">
	【2023年】山西省临汾市会计从业资格财经法规测试卷（含答案）学校:班级:姓名:考号:
</w:t>
      </w:r>
    </w:p>
    <w:p/>
    <w:p>
      <w:pPr/>
      <w:r>
        <w:rPr>
          <w:rStyle w:val="myStyle"/>
        </w:rPr>
        <w:t xml:space="preserve">
	一、单选题（10题）.初级会计人员继续教育，接受培训时间每年不少于（）oA.68小时B.24小时C.48小时D.20小时.第26题一般情况下，上市公司适用的税款征收方式是（）A.代底征收A定征收C.代总征收D.4期定收.第19题对无固定经营场所或财务制度不健全的纳税人需要发票的，可（）oA.到税务部门办税服务厅，由征收窗口代开发票B.向主管税务机关领购发票C.根据所领购发票的票面限额及数量交纳不超过1万元的保证金后，自开发票D.由财务制度健全的其他纳税人代开发票.公司向股东或社会公众提供虚假的或者隐瞒重要事实的财务会计报移（）oA.个人结算账户B.银行结算账户C.基本存款账户D.一般存款账户参考答案1B初级会计人员继续教育的时间每年不少于72小时，其中接受培训时间每年累计不少于24小时，自学时间每年累计不少于48小时.A查账征收一般适用于财务会计制度较为健全，能够认真履行纳税义务的纳税单位，而上市公司的财务会计制度一般都较为健全.A对无固定经营场所或财务制度不健全的纳税人需要发票的，可到税务部门办税服务厅，由征收窗口代开发票.A根据刑法第一百六十一条的规定，公司向股东或社会公众提供虚假的或者隐瞒重要事实的财务会计报告，严重损害股东或者他人利益的对其直接负责的主管人员，处三年以下有期徒刑或拘役.D《票据法》规定票据的债务可以由票据债务人以外的他人承担保证责任，保证是一种票据行为.C［解析］:本题考核消费税的计税方法现行消费税的征税范围中，只有卷烟、白酒采用复合计征方法选项均是从价计征消费税的.D.A本题考点是银行汇票兑付的基本规定.C
</w:t>
      </w:r>
    </w:p>
    <w:p/>
    <w:p>
      <w:pPr/>
      <w:r>
        <w:rPr>
          <w:rStyle w:val="myStyle"/>
        </w:rPr>
        <w:t xml:space="preserve">
	16.【答案】c【考点】会计账簿的设置与登记【解析】依法设置会计账簿，是单位进行会计核算的最基本的要求，各单位必须按照有关法律、行政法规和国家统一的会计制度的规定，设置和登记会计账簿.D依法建账中的法既包括《会计法》和《会计基础工作规范》，也包括其他法律、行政法规，如《税收征收管理法》《公司法》及国务院发布的《企业财务会计报告条例》《总会计师条例》《企业会计制度》等D选项内容全面，为本题正确答案.ABD长期借款所发生的利息支出，应”-3按照权责发生制的原则按期预提并计入有关科目属于在建期间的.应借记“长期待摊费用科目；属于生产经营期间的，应借记“财务费用科目；如果长期借款用于购建、改扩建固定资产的，在固定资产未达到预定可使用状态前所发生的应当资本化的利息支出数，计入所购建或改扩建固定资产的价值，借记“在建工程”科目故选ABD
</w:t>
      </w:r>
    </w:p>
    <w:p/>
    <w:p>
      <w:pPr/>
      <w:r>
        <w:rPr>
          <w:rStyle w:val="myStyle"/>
        </w:rPr>
        <w:t xml:space="preserve">
	12.BCD本题考核代理记账机构及其从业人员的义务代理记账机构及其从业人员的义务包括1按照委托合同办理代理记账业务，遵守有关法律、行政法规和国家统一的会计制度的规定2对在执行业务中知悉的商业秘密应当保密3对委托人示意其作出不当的会计处理，提供不实的会计资料，以及其他不符合法律、行政法规和国家统一的会计制度的要求，应当拒绝4对委托人提出的有关会计处理原则问题应当予以解释.ABCD税务登记证件的主要内容包括纳税人名称；税务登记代码；法定代表人或负责人；生产经营地址；登记类型；核算方式；生产经营范围；发证日期；证件有效期等.ACD全国人民代表大会的预算管理职权有:审查中央和地方预算草案及中央和地方预算执行情况的报告；批准中央预算和中央预算执行情况的报告；改变或者撤销全国人民代表大会常务委员会关于预算、决算的不适当的决议选项B属于全国人大常委会的预算管理职权.ABC纳税申报主要有以下几种方式
</w:t>
      </w:r>
    </w:p>
    <w:p/>
    <w:p>
      <w:pPr/>
      <w:r>
        <w:rPr>
          <w:rStyle w:val="myStyle"/>
        </w:rPr>
        <w:t xml:space="preserve">
	（1）直接申报
</w:t>
      </w:r>
    </w:p>
    <w:p/>
    <w:p>
      <w:pPr/>
      <w:r>
        <w:rPr>
          <w:rStyle w:val="myStyle"/>
        </w:rPr>
        <w:t xml:space="preserve">
	（2）邮寄申报
</w:t>
      </w:r>
    </w:p>
    <w:p/>
    <w:p>
      <w:pPr/>
      <w:r>
        <w:rPr>
          <w:rStyle w:val="myStyle"/>
        </w:rPr>
        <w:t xml:space="preserve">
	（3）数据电文申报
</w:t>
      </w:r>
    </w:p>
    <w:p/>
    <w:p>
      <w:pPr/>
      <w:r>
        <w:rPr>
          <w:rStyle w:val="myStyle"/>
        </w:rPr>
        <w:t xml:space="preserve">
	（4）简易申报⑸其他方式实行定期定额缴纳税款的纳税人，可以实行简并征期等方式申报.ABC【答案】ABCD【考点】会计账目核对的内容【解析】《会计法》第17条规定，各单位应当定期将会计账簿记录与实物、款项及有关资料相互核对，保证会计账簿记录与实物及款项的实有数额相符、会计账簿记录与会计凭证的有关内容相符、会计账簿之间相对应的记录相符、会计账簿记录与会计报表的有关内容相符即账实相符、账证相符、账账相符、.AC银行以外的法人不可签发银行本票；本票不可能空头，所以是支付证券，不是信用证券，支票才是信用证券故选AC
</w:t>
      </w:r>
    </w:p>
    <w:p/>
    <w:p>
      <w:pPr/>
      <w:r>
        <w:rPr>
          <w:rStyle w:val="myStyle"/>
        </w:rPr>
        <w:t xml:space="preserve">
	18.BCD
</w:t>
      </w:r>
    </w:p>
    <w:p/>
    <w:p>
      <w:pPr/>
      <w:r>
        <w:rPr>
          <w:rStyle w:val="myStyle"/>
        </w:rPr>
        <w:t xml:space="preserve">
	19.ABCD本题考核国库单一账户体系的范围本题的四个选项均属于国库单一账户的构成范围
</w:t>
      </w:r>
    </w:p>
    <w:p/>
    <w:p>
      <w:pPr/>
      <w:r>
        <w:rPr>
          <w:rStyle w:val="myStyle"/>
        </w:rPr>
        <w:t xml:space="preserve">
	20.ABCD主导地位的企业，应当至少每年一次向本企业的职工代表大会公布财务会计报告重点说明下列事项
</w:t>
      </w:r>
    </w:p>
    <w:p/>
    <w:p>
      <w:pPr/>
      <w:r>
        <w:rPr>
          <w:rStyle w:val="myStyle"/>
        </w:rPr>
        <w:t xml:space="preserve">
	①反映与职工利益密切相关的信息，包括管理费用的构成情况，企业管理人员工资、福利和职工工资、福利费用的发放、使用和结余情况，公益金的提取及使用情况，利润分配的情况以及其他与职工利益相关的信息；
</w:t>
      </w:r>
    </w:p>
    <w:p/>
    <w:p>
      <w:pPr/>
      <w:r>
        <w:rPr>
          <w:rStyle w:val="myStyle"/>
        </w:rPr>
        <w:t xml:space="preserve">
	②内部审计发现的问题及纠正情况；
</w:t>
      </w:r>
    </w:p>
    <w:p/>
    <w:p>
      <w:pPr/>
      <w:r>
        <w:rPr>
          <w:rStyle w:val="myStyle"/>
        </w:rPr>
        <w:t xml:space="preserve">
	③注册会计师审计的情况；
</w:t>
      </w:r>
    </w:p>
    <w:p/>
    <w:p>
      <w:pPr/>
      <w:r>
        <w:rPr>
          <w:rStyle w:val="myStyle"/>
        </w:rPr>
        <w:t xml:space="preserve">
	④国家审计机关发现的问题及纠正情况；
</w:t>
      </w:r>
    </w:p>
    <w:p/>
    <w:p>
      <w:pPr/>
      <w:r>
        <w:rPr>
          <w:rStyle w:val="myStyle"/>
        </w:rPr>
        <w:t xml:space="preserve">
	⑤重大的投资、融资和资产处置决策及其原因的说明等；
</w:t>
      </w:r>
    </w:p>
    <w:p/>
    <w:p>
      <w:pPr/>
      <w:r>
        <w:rPr>
          <w:rStyle w:val="myStyle"/>
        </w:rPr>
        <w:t xml:space="preserve">
	⑥需要说明的其他重要事项2LC”出租闲置设备”属于“服务业”中的“租赁业”，“服务业”属于营业税税目，适用5%的营业税税率所以该企业出租闲置设备应缴纳营业税额=b5%=
</w:t>
      </w:r>
    </w:p>
    <w:p/>
    <w:p>
      <w:pPr/>
      <w:r>
        <w:rPr>
          <w:rStyle w:val="myStyle"/>
        </w:rPr>
        <w:t xml:space="preserve">
	0.05（万元）
</w:t>
      </w:r>
    </w:p>
    <w:p/>
    <w:p>
      <w:pPr/>
      <w:r>
        <w:rPr>
          <w:rStyle w:val="myStyle"/>
        </w:rPr>
        <w:t xml:space="preserve">
	22.【答案与解析】
</w:t>
      </w:r>
    </w:p>
    <w:p/>
    <w:p>
      <w:pPr/>
      <w:r>
        <w:rPr>
          <w:rStyle w:val="myStyle"/>
        </w:rPr>
        <w:t xml:space="preserve">
	160.54元小规模纳税人增值税应纳税额=销售额x征收率其中，销售额=含税此，小规模纳税人增值税应纳税额=5512+（1+3%）x3%=160?54（元）
</w:t>
      </w:r>
    </w:p>
    <w:p/>
    <w:p>
      <w:pPr/>
      <w:r>
        <w:rPr>
          <w:rStyle w:val="myStyle"/>
        </w:rPr>
        <w:t xml:space="preserve">
	23.BC一般会计人员办理交接手续，由单位的会计机构负责人（会计主管人员）负责监交会计机构负责人、会计主管人员办理交接手续，由单位负责人负责监交，必要时上级主管部门可以派人会同监交
</w:t>
      </w:r>
    </w:p>
    <w:p/>
    <w:p>
      <w:pPr/>
      <w:r>
        <w:rPr>
          <w:rStyle w:val="myStyle"/>
        </w:rPr>
        <w:t xml:space="preserve">
	24.BC各级政府编制年度预算草案的依据包括法律、法规，国民经济和社会发展计划、财政中长期计划以及有关的财政经济政策，本级政府的预算管理职权和财政管理体制确定的预算收支范围，上一年度预算执行情况和本年度预算收支变化因素，上级政府对编制本年度预算草案的指不和要求
</w:t>
      </w:r>
    </w:p>
    <w:p/>
    <w:p>
      <w:pPr/>
      <w:r>
        <w:rPr>
          <w:rStyle w:val="myStyle"/>
        </w:rPr>
        <w:t xml:space="preserve">
	25.ABCD根据《正确填写票据和结算凭证的基本规定》填写票据和结算凭证应当规范，做到要素齐全、数字正确、字迹清晰、不错不漏、不潦草、防止涂改
</w:t>
      </w:r>
    </w:p>
    <w:p/>
    <w:p>
      <w:pPr/>
      <w:r>
        <w:rPr>
          <w:rStyle w:val="myStyle"/>
        </w:rPr>
        <w:t xml:space="preserve">
	26.BC张某的行为违背了诚实守信、廉洁自律的会计职业道德故选BCO.AC业务较多的社会团体和其他组织也应设置会计机构，故8选项错误；不具备设置条件的，应当委托经批准设立从事会计代理记账业务的中介机构代理记账，故D选项错误根据《会计法》第三十六条第一款规定严各单位应当根据会计业务的需要，设置会计机构，或者在有关机构中设置会计人员并指定会计主管人员；不具备设置条件的，应当委托经批准设立从事会计代理记账业务的中介机构代理记账”可知AC为正确选项故选AC.【答案与解析】
</w:t>
      </w:r>
    </w:p>
    <w:p/>
    <w:p>
      <w:pPr/>
      <w:r>
        <w:rPr>
          <w:rStyle w:val="myStyle"/>
        </w:rPr>
        <w:t xml:space="preserve">
	0.9万元应纳滞纳金=滞纳税款X滞纳天数xo.5%因此，本题中应纳滞纳金二300x6x
</w:t>
      </w:r>
    </w:p>
    <w:p/>
    <w:p>
      <w:pPr/>
      <w:r>
        <w:rPr>
          <w:rStyle w:val="myStyle"/>
        </w:rPr>
        <w:t xml:space="preserve">
	0.5%o=
</w:t>
      </w:r>
    </w:p>
    <w:p/>
    <w:p>
      <w:pPr/>
      <w:r>
        <w:rPr>
          <w:rStyle w:val="myStyle"/>
        </w:rPr>
        <w:t xml:space="preserve">
	0.9（万元）.C【答案】Co解析根据《票据管理实施办法》第31条的规定，签发空头支票或者签发与其预留的签章不符的支票，不以骗取财物为目的选项正确.AB【考点】支票的提示付款和票据权利的失效【解析】持票人超过提示付款期限的，付款人可以不予付款，但持票人并不丧失对出票人的追索权，出票人仍然应当对持票人承担支付票款的责任持票人对支票出票人的权利，自出票日起6个月.D【考点】会计核算的一般要求【解析】按照会计核算的真实性和客观性要求，各单位必须根据实际发生的经济业务事项进行会计核算，填制会计凭证，登记会计账簿，编制财务会计报告任何单位不得以虚假的经济业务事项或者资料进行会计核算故D选项正确.A本题考核出票日期的填写在填写月、日时，月为壹、贰和壹拾的，日为壹至玖和壹拾、贰拾和叁拾的，应在其前加零”；日为拾壹至拾玖的，应在其前面加“壹票据出票日期使用小写填写的，银行不予受理.B银行结算账户是资金从一方当事人向另一方当事人转移的起点和终点，单位和个人之间的人民币转账结算离不开银行结算账户告，严重损害股东或者他人利益的，对其直接负责的主管人员，处（）有期徒刑或拘役A.三年以下B.五年以下C.两年以下D.十年以下第29题票据债务人以外的人，为担保特定债务人履行票据债务而在票据上记载有关事项并盖章的行为称为（）oA-出票B.背书C.承兑D.保证下列各项中，按从价从量复合计征消费税的是（）A.汽车轮胎B.化妆品C.白酒D.珠宝玉石第24题会计人员应根据（）登记会计帐簿A.实际发生的经济业务B.经审核的原始凭证C.会计凭证D.审核无误的会计凭证第19题申请人缺少解讫通知要求退款的，出票银行应于银行汇票提示付款期满（）办理1个月2个月3个月6个月.单位进行会计核算的最基本要求是（）A.及时填制或取得原始凭证B.依法编制记账凭证C.依法设置会计账簿D.依法编制财务会计报告.依法建账是会计核算中的基本要求之一，依法建账的法指的是（）A.《会计法》B.《会计基础工作规范》C《公司法》D.《会计法》《会计基础工作规范》和其他一些法律、行政法规
</w:t>
      </w:r>
    </w:p>
    <w:p/>
    <w:p>
      <w:pPr/>
      <w:r>
        <w:rPr>
          <w:rStyle w:val="myStyle"/>
        </w:rPr>
        <w:t xml:space="preserve">
	二、多选题（10题）1L长期借款所发生的利息支出，可能计入的项目有（）0A.财务费用B.在建工程C.营业外支出D.长期待摊费用
</w:t>
      </w:r>
    </w:p>
    <w:p/>
    <w:p>
      <w:pPr/>
      <w:r>
        <w:rPr>
          <w:rStyle w:val="myStyle"/>
        </w:rPr>
        <w:t xml:space="preserve">
	12.下列各项中，属于代理记账机构及其从业人员义务的有（）oA.接受委托人示意其作出的会计处理B.对在执行业务中知悉的商业秘密应当保密C.按照委托合同办理代理记账业务D.对委托人提出的有关会计处理原则问题应当予以解释
</w:t>
      </w:r>
    </w:p>
    <w:p/>
    <w:p>
      <w:pPr/>
      <w:r>
        <w:rPr>
          <w:rStyle w:val="myStyle"/>
        </w:rPr>
        <w:t xml:space="preserve">
	13.第51题税务登记证件的主要内容包括（）A.彷税人名林B.税务您记代码C.法定代衣人或负责人D.生产经营他倒.根据《预算法》的规定，全国人民代表大会的预算管理职权包括（）A.审查中央和地方预算草案及中央和地方预算执行情况的报告B撤销国务院制定的同宪法、法律相抵触的关于预算、决算的行政法规、决定和命令C.批准中央预算和中央预算执行情况的报告D.改变或者撤销全国人民代表大会常务委员会关于预算、决算的不适当的决议.纳税申报的形式主要有（）A.直接申报B.邮寄申报C数据电文申报D.代理申报.会计账目核对的内容主要包括（）oA.账实相符B.账证相符C.账账相符D.账表相符.银行本票的重要特征包括（）A.银行本票的出票人资格有限制B.银行以外的法人单位可以签发银行本票C.银行本票仅限于见票即付D.银行本票是一种信用证券.根据消费税的规定，下列关于纳税人销售应税消费品的纳税义务发生时间，说法正确的有（）A.A.采取分期收款结算方式的，为书面合同约定的收款日期的当天，书面合同没有约定收款日期或者无书面合同的，为实际收到货款的当天B.纳税人自产自用应税消费品的，为移送使用的当天C.纳税人委托加工应税消费品的，为纳税人提货的当天D.采取预收货款结算方式的，为发出应税消费品的当天.下列账户中，属于国库单一账户体系中包括（）A.预算外资金财政专户B.特设专户C.国库单一账户D.财政部门零余额账户.根据《企业财务会计报告条例》规定，国有企业应当至少每年一次向本企业的职工代表大会公布财务会计报告下列各项中，应当在其公布的财务会计报告中重点说明的事项有（）oA.内部审计发现的问题及纠正情况B.重大投资、融资C.注册会计师审计情况D.管理费用的构成情况
</w:t>
      </w:r>
    </w:p>
    <w:p/>
    <w:p>
      <w:pPr/>
      <w:r>
        <w:rPr>
          <w:rStyle w:val="myStyle"/>
        </w:rPr>
        <w:t xml:space="preserve">
	三、案例分析题（10题）.该企业出租闲置设备应缴纳（）万元查看材料A.增值税
</w:t>
      </w:r>
    </w:p>
    <w:p/>
    <w:p>
      <w:pPr/>
      <w:r>
        <w:rPr>
          <w:rStyle w:val="myStyle"/>
        </w:rPr>
        <w:t xml:space="preserve">
	0.17B.营业税
</w:t>
      </w:r>
    </w:p>
    <w:p/>
    <w:p>
      <w:pPr/>
      <w:r>
        <w:rPr>
          <w:rStyle w:val="myStyle"/>
        </w:rPr>
        <w:t xml:space="preserve">
	0.03C.营业税
</w:t>
      </w:r>
    </w:p>
    <w:p/>
    <w:p>
      <w:pPr/>
      <w:r>
        <w:rPr>
          <w:rStyle w:val="myStyle"/>
        </w:rPr>
        <w:t xml:space="preserve">
	0.05D.增值税
</w:t>
      </w:r>
    </w:p>
    <w:p/>
    <w:p>
      <w:pPr/>
      <w:r>
        <w:rPr>
          <w:rStyle w:val="myStyle"/>
        </w:rPr>
        <w:t xml:space="preserve">
	0.
</w:t>
      </w:r>
    </w:p>
    <w:p/>
    <w:p>
      <w:pPr/>
      <w:r>
        <w:rPr>
          <w:rStyle w:val="myStyle"/>
        </w:rPr>
        <w:t xml:space="preserve">
	13.某五金工具厂为小规模纳税人，适用的增值税征收率为3%2010年6月份，该厂取得销售收入（含增值税）5512元，则该厂6月份应缴纳的增值税额为元.根据以下资料，回答下列问题龙腾公司是一家国有企业，2014年内，发生了如下事项
</w:t>
      </w:r>
    </w:p>
    <w:p/>
    <w:p>
      <w:pPr/>
      <w:r>
        <w:rPr>
          <w:rStyle w:val="myStyle"/>
        </w:rPr>
        <w:t xml:space="preserve">
	（1）调整新的领导班子上任，决定精简内设机构，中层干部轮岗，将会计部撤并到厂部办公室，同时任命办公室主任朱某兼任会计负责人撤并以后会计主要工作重新分工如下原会计部主管会计继续留任会计工作原设备处工作人员、朱某的女儿小英调任出纳工作，兼任会计档案的保管朱某毕业于某名牌师范大学，自从参加工作以来一直从事办公室文秘，恪守职责，兢兢业业，深受厂领导和同事们的好评为了使其尽快胜任会计负责人岗位，领导要求朱某参加会计知识培训班，并参加当年全省会计从业资格的统一考试
</w:t>
      </w:r>
    </w:p>
    <w:p/>
    <w:p>
      <w:pPr/>
      <w:r>
        <w:rPr>
          <w:rStyle w:val="myStyle"/>
        </w:rPr>
        <w:t xml:space="preserve">
	（2）撤并工作完成后，办理会计交接手续，由厂部纪检、监察部门严格监交根据法律规定，会计人员的交接，应当由（）负责监交查看材料A.由单位的纪检、监察部门负责监交B.一般会计人员的交接，由会计机构负责人、会计主管人员负责监交C.会计机构负责人、会计主管人员办理交接，由单位负责人负责监交必要时由上级部门会同监交D.会计机构负责人、会计主管人员办理交接，由上级部门负责监交.下列表述中，属于各级政府编制年度预算草案的依据的是（）查看材料A.上级政府的预算管理职权和财政管理体制确定的预算收支范围B.国民经济和社会发展计划、财政中长期计划以及有关的财政经济政策C.上一年度预算执行情况和本年度预算收支变化因素D.本级政府对编制本年度预算草案的指示和要求.填写票据和结算凭证应当做到（）查看材料A.要素齐全B.数字正确C.字迹清晰D.防止涂改.张某将公司新产品的研发资料复印件给其丈夫，给公司造成一定的损失，违背了（）的会计职业道德A.客观公正B.诚实守信C.廉洁自律D.强化服务.根据下列材料，请回答｛TSE｝题甲企业于10月成立，因经营规模较小，拟不设置会计机构，将会计工作委托新兴财务咨询公司代理新兴财务咨询公司于9月成立，并通过工商行政部门核准登记，负责人贾某为持有会计从业资格证书的高级会计师，另有10名专职员32（其中3名持有会计从业资格证书）｛TS｝根据《会计法》对设置会计机构的相关规定，以下说法中正确的有（）A.实行企业化管理的事业单位，应当设置会计机构B.社会团体和其他组织，可以不单独设置会计机构C.不单独设置会计机构的单位，应当在有关机构中设置会计人员并指定会计主管人员D.不具备设置会计机构和会计人员条件的单位，应当委托会计类中介机构代理记账.某企业未按照税务机关规定的应于2010年6月10日缴纳的税款300万元拖至6月16日缴纳，根据《税收征收管理法》的规定，税务机关依法加收该企业滞纳金O.资料二甲公司2013年在物资采购中，有关票据方面发生如下情况1甲公司销售给乙公司一批货物，按合同约定如期交货，乙公司签发了一张金额为30万元的转账支票，交给甲公司甲公司到银行提示付款时，发现该支票是空头支票甲公司认为，对乙公司应处以罚款，并有权要求乙公司给予经济赔偿2甲公司某采购人员持该公司开户银行签发的、注明“现金”字样的银行本票，购置一批物资由于该采购人员保管不慎，将银行本票丢失随后，甲公司采取了一系列的措施根据材料，回答6?10小题
</w:t>
      </w:r>
    </w:p>
    <w:p/>
    <w:p>
      <w:pPr/>
      <w:r>
        <w:rPr>
          <w:rStyle w:val="myStyle"/>
        </w:rPr>
        <w:t xml:space="preserve">
	6.对于乙公司的行为应由进行处罚A.财政部门B.甲公司开户银行C.中国人民银行D.乙公司开户银行..如果丙在5月10日提示付款，下列说法正确的是（）A.已过提示付款期，付款人可拒绝付款，但持票人并未丧失票据权利.持票人对支票出票人的权利，自出票日起6个月C.已过提示付款期，付款人可拒绝付款，同时持票人丧失票据权利D.持票人对支票出票人的权利，自出票日起3个月
</w:t>
      </w:r>
    </w:p>
    <w:p/>
    <w:p>
      <w:pPr/>
      <w:r>
        <w:rPr>
          <w:rStyle w:val="myStyle"/>
        </w:rPr>
        <w:t xml:space="preserve">
	31.按照会计核算的真实性和客观性要求，各单位会计核算的依据必须是oA.原始凭证B.会计账簿C.记账凭证D.实际发生的经济业务
</w:t>
      </w:r>
    </w:p>
    <w:p/>
    <w:p>
      <w:pPr/>
      <w:r>
        <w:rPr>
          <w:rStyle w:val="myStyle"/>
        </w:rPr>
        <w:t xml:space="preserve">
	五、单选题（0题）A.票据的出票日期必须使用中文大写B.在填写月、日时，月为壹、贰和壹拾的应在其前加“壹”C在填写月、日时，日为拾壹至拾玖的，应在其前面加“零”D.票据出票E1期使用小写填写的，银行也应受理
</w:t>
      </w:r>
    </w:p>
    <w:p/>
    <w:p>
      <w:pPr/>
      <w:r>
        <w:rPr>
          <w:rStyle w:val="myStyle"/>
        </w:rPr>
        <w:t xml:space="preserve">
	六、单选题（0题）
</w:t>
      </w:r>
    </w:p>
    <w:p/>
    <w:p>
      <w:pPr/>
      <w:r>
        <w:rPr>
          <w:rStyle w:val="myStyle"/>
        </w:rPr>
        <w:t xml:space="preserve">
	33.下列各项中，通过哪类账户可以将资金从一方当事人向另一当事人转。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2023-09-06T13:15:48+08:00</dcterms:created>
  <dcterms:modified xsi:type="dcterms:W3CDTF">2023-09-06T13:15:48+08:00</dcterms:modified>
</cp:coreProperties>
</file>

<file path=docProps/custom.xml><?xml version="1.0" encoding="utf-8"?>
<Properties xmlns="http://schemas.openxmlformats.org/officeDocument/2006/custom-properties" xmlns:vt="http://schemas.openxmlformats.org/officeDocument/2006/docPropsVTypes"/>
</file>