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行政人事工作计划 行政诉讼时效期限是多久</w:t>
      </w:r>
    </w:p>
    <w:p/>
    <w:p/>
    <w:p>
      <w:pPr/>
      <w:r>
        <w:rPr>
          <w:rStyle w:val="myStyle"/>
        </w:rPr>
        <w:t xml:space="preserve">　　根据部门20XX年的工作结合公司目前实际情况和今后的发展趋势，行政人事部计划从以下几方面开展20xx年度的工作，全面推行目标管理。以下《行政人事工作计划》是由</w:t>
      </w:r>
    </w:p>
    <w:p/>
    <w:p>
      <w:pPr/>
      <w:r>
        <w:rPr>
          <w:rStyle w:val="myStyle"/>
        </w:rPr>
        <w:t xml:space="preserve">　　2、配合公司促建工作，加大宣传力度，对在工作上涌现出来的典型的人和事予以及时报道，通过以点带面，促使工作质量进一步提高。</w:t>
      </w:r>
    </w:p>
    <w:p/>
    <w:p>
      <w:pPr/>
      <w:r>
        <w:rPr>
          <w:rStyle w:val="myStyle"/>
        </w:rPr>
        <w:t xml:space="preserve">　　3、加大人力资源管理力度，完善劳动人事档案管理，严格控制公司劳动用工，做好以事设岗，人尽其才。为人才招募与评定薪资、绩效考核提供合理依据</w:t>
      </w:r>
    </w:p>
    <w:p/>
    <w:p>
      <w:pPr/>
      <w:r>
        <w:rPr>
          <w:rStyle w:val="myStyle"/>
        </w:rPr>
        <w:t xml:space="preserve">　　4、完成日常人力资源招聘与配置。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2023-05-13T02:52:18+08:00</dcterms:created>
  <dcterms:modified xsi:type="dcterms:W3CDTF">2023-05-13T02:52:18+08:00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