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2015市人才人事工作计划</w:t>
      </w:r>
    </w:p>
    <w:p/>
    <w:p/>
    <w:p>
      <w:pPr/>
      <w:r>
        <w:rPr>
          <w:rStyle w:val="myStyle"/>
        </w:rPr>
        <w:t xml:space="preserve">　　2014年全市人才人事工作的主要任务是：坚持以科学发展观为统领，坚持以人为本，继续实施人才强市战略，着力优化人才发展环境，全面贯彻实施公务员法，切实加强公务员队伍建设，扎实推进政府职能转变和人事制度改革，努力为我市经济社会又快又好发展提供强有力的人才人事保证。</w:t>
      </w:r>
    </w:p>
    <w:p/>
    <w:p>
      <w:pPr/>
      <w:r>
        <w:rPr>
          <w:rStyle w:val="myStyle"/>
        </w:rPr>
        <w:t xml:space="preserve">　　一、大力实施人才强市战略，着力营造良好人才环境.版权所有</w:t>
      </w:r>
    </w:p>
    <w:p/>
    <w:p>
      <w:pPr/>
      <w:r>
        <w:rPr>
          <w:rStyle w:val="myStyle"/>
        </w:rPr>
        <w:t xml:space="preserve">　　(一)围绕发展模式转型、经济增长方式转变，大力引进创业创新型人才。继续实施“325人才引进工程”，力争全年引进各类人才5000名以上，其中中高层次人才4000名，国内外智力项目50个。重点引进既懂国际通行规则又熟悉wto事务的世贸人才，既懂经营管理又精通专业技术的复合型人才和高新技术人才等创业创新型人才，同时要注重引进外经外贸、市场营销和机械模具等紧缺实用人才。要组织好市内外各类人才交流招聘活动，继续实施高校毕业生来实习和中高层次人才来考察，通过实习、考察等活动，更多地引进企业急需的各类人才。要充分发挥网上人才市场作用，组织开展“人才网联百所高校”活动，继续做好网上会员企业人才招聘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2023-05-20T04:39:33+08:00</dcterms:created>
  <dcterms:modified xsi:type="dcterms:W3CDTF">2023-05-20T04:39:33+08:00</dcterms:modified>
</cp:coreProperties>
</file>

<file path=docProps/custom.xml><?xml version="1.0" encoding="utf-8"?>
<Properties xmlns="http://schemas.openxmlformats.org/officeDocument/2006/custom-properties" xmlns:vt="http://schemas.openxmlformats.org/officeDocument/2006/docPropsVTypes"/>
</file>