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医院财务总务工作计划</w:t>
      </w:r>
    </w:p>
    <w:p/>
    <w:p/>
    <w:p>
      <w:pPr/>
      <w:r>
        <w:rPr>
          <w:rStyle w:val="myStyle"/>
        </w:rPr>
        <w:t xml:space="preserve">
	财务计划工作的本身就是运用科学的技术手段和数学方法，对目标进行综合平衡，制定主要计划指标，拟订增产节约措施，协调各项计划指标。
</w:t>
      </w:r>
    </w:p>
    <w:p/>
    <w:p>
      <w:pPr/>
      <w:r>
        <w:rPr>
          <w:rStyle w:val="myStyle"/>
        </w:rPr>
        <w:t xml:space="preserve">
	、医院总业务量大致恒定(指医保总量恒定)的情况下，财务赢利结构显得成为重要，我院主要是医、药的比例结构，以去年为例，这些指纯业务比例，药品收入、医疗为分别65%与35%，而药品收入成本占74%，另加上交药品收入的5%，共计79%，而医疗收入成本占10%，且全年计提超劳务都在这一块，由此得出1%，即37.1万，如是增医疗收入1%，成本仅3.71万，赢利7.8万，两者相差25.6万，同样以去年为例，药品收入一季度、二季度、三季度、四季度分别为62%、61%、65%、74%，去年一季度是比较正常的，二季度为非典期，三季度过渡期，四季度追医保数，因此二、三、四季度均列为不正常，因此说今年医、药比例定为38:62是可信的，我也希望通过领导能调节到这个比例，我希望在比例结构达到目标时，每月能超计划数5%，这样今年预计超180万左右，在最后两个月适当控制药品处方，此时，医、药比例将更佳，而今年计划数呈略超状态，医、药比例希望达31:69，此时将贡献利润100左右，我将每月结果报告领导，借领导掌握来实现之，2009年医院财务工作计划(财务组篇)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2023-04-29T10:29:21+08:00</dcterms:created>
  <dcterms:modified xsi:type="dcterms:W3CDTF">2023-04-29T10:29:21+08:00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