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2015年美容医院财务科年度工作计划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b、完善利润预测，资金预算的准确性，形成预算体制下的财务运作及分析体系。
</w:t>
      </w:r>
    </w:p>
    <w:p/>
    <w:p>
      <w:pPr/>
      <w:r>
        <w:rPr>
          <w:rStyle w:val="myStyle"/>
        </w:rPr>
        <w:t xml:space="preserve">
	2、在管理会计核算上：
</w:t>
      </w:r>
    </w:p>
    <w:p/>
    <w:p>
      <w:pPr/>
      <w:r>
        <w:rPr>
          <w:rStyle w:val="myStyle"/>
        </w:rPr>
        <w:t xml:space="preserve">
	a、加强物流周转次数，有效控制资金利用率，实行物资安全库存量管理，科室限量备用及领用制度，提倡节约使用减少损耗，利用电脑信息系统建立安全库存量预警提示。
</w:t>
      </w:r>
    </w:p>
    <w:p/>
    <w:p>
      <w:pPr/>
      <w:r>
        <w:rPr>
          <w:rStyle w:val="myStyle"/>
        </w:rPr>
        <w:t xml:space="preserve">
	b、加强进货成本的监督，完善进货(包括新产品、新物质)的报批程序及合同管理。
</w:t>
      </w:r>
    </w:p>
    <w:p/>
    <w:p>
      <w:pPr/>
      <w:r>
        <w:rPr>
          <w:rStyle w:val="myStyle"/>
        </w:rPr>
        <w:t xml:space="preserve">
	c、加强各项售价(包括产品、物质)的报批程序及信息系统管理，制定最低售价的信息预警提示。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2023-07-27T15:51:59+08:00</dcterms:created>
  <dcterms:modified xsi:type="dcterms:W3CDTF">2023-07-27T15:51:59+08:00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