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2015年企业财务部门管理工作计划</w:t>
      </w:r>
    </w:p>
    <w:p/>
    <w:p/>
    <w:p>
      <w:pPr/>
      <w:r>
        <w:rPr>
          <w:rStyle w:val="myStyle"/>
        </w:rPr>
        <w:t xml:space="preserve">　　工作计划网财务工作计划频道小编为大家提供范文《2014年企业财务部门管理工作计划》，更多内容欢迎访问www.。</w:t>
      </w:r>
    </w:p>
    <w:p/>
    <w:p>
      <w:pPr/>
      <w:r>
        <w:rPr>
          <w:rStyle w:val="myStyle"/>
        </w:rPr>
        <w:t xml:space="preserve">　　为全面搞好2014年全面预算管理与财务管理工作，我们计划重点抓好以下几个方面的工作：</w:t>
      </w:r>
    </w:p>
    <w:p/>
    <w:p>
      <w:pPr/>
      <w:r>
        <w:rPr>
          <w:rStyle w:val="myStyle"/>
        </w:rPr>
        <w:t xml:space="preserve">　　(一)根据上级公司下达的预算指导意见，进一步搞好预算管理工作。预算管理作为财务管理中的重要一环，与全面做好财务工作息息相关。在明年的工作当中，要进一步加强对科室、站所的费用预算指导与预算管理，认真做好预算的分析、分解与落实工作，使全面预算管理真正成为全员预算管理，让预算真正发挥其应有的作用。</w:t>
      </w:r>
    </w:p>
    <w:p/>
    <w:p>
      <w:pPr/>
      <w:r>
        <w:rPr>
          <w:rStyle w:val="myStyle"/>
        </w:rPr>
        <w:t xml:space="preserve">　　(二)结合iso9000质量认证，当好领导的参谋，确保完成上级局(公司)下达的各项指标。今年，公司已走上了良性发展的快车道，卷烟销售与烟叶经营质量不断提高，企业资产得到进一步净化与整合。结合市局(公司)贯彻9000质量认证体系，本着“严、深、细、实”的原则，全面强化两烟责任制的制定与落实，在千辛万苦抓增收的基础上，千方百计研究节支，力争完成各项任务指标。同时，认真研究搞好多种经营工作，围绕盘活资产，对现有闲置的网点和烟站进行对外租赁;认真清理往来帐户，大力回收货款，减少资金占用，提高企业资产负债结构，降低企业资产负债率。根据上级公司物资采购的要求，进一步健全物资比价采购制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2023-05-15T07:59:04+08:00</dcterms:created>
  <dcterms:modified xsi:type="dcterms:W3CDTF">2023-05-15T07:59:04+08:00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