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人事局年度工作计划</w:t>
      </w:r>
    </w:p>
    <w:p/>
    <w:p/>
    <w:p>
      <w:pPr/>
      <w:r>
        <w:rPr>
          <w:rStyle w:val="myStyle"/>
        </w:rPr>
        <w:t xml:space="preserve">　　工作计划怎么写？在全县人事人才工作总体要求是：深入学习贯彻党的十八大、十八届三中全会和习近平总书记系列重要讲话精神，以开展党的群众路线教育实践活动为契机，落实全省人社工作会议、公务员管理工作会议和全市人事工作会议部署，围绕县委加快推进“中国生态食品城”建设、省级城镇化试点县建设，加快职能转变，创新工作机制，深化人事制度改革，加强公务员管理，加大人才培养引进力度，为我县经济和社会事业发展提供人才支撑和智力保证。</w:t>
      </w:r>
    </w:p>
    <w:p/>
    <w:p>
      <w:pPr/>
      <w:r>
        <w:rPr>
          <w:rStyle w:val="myStyle"/>
        </w:rPr>
        <w:t xml:space="preserve">　　一、进一步加强公务员管理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2023-05-27T08:56:25+08:00</dcterms:created>
  <dcterms:modified xsi:type="dcterms:W3CDTF">2023-05-27T08:56:25+08:00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