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2015年度人事专员个人工作计划</w:t>
      </w:r>
    </w:p>
    <w:p/>
    <w:p/>
    <w:p>
      <w:pPr/>
      <w:r>
        <w:rPr>
          <w:rStyle w:val="myStyle"/>
        </w:rPr>
        <w:t xml:space="preserve">　　第一、对照2013年《劳动合同法》梳理实业公司现行人力资源管理制度中相关内容;</w:t>
      </w:r>
    </w:p>
    <w:p/>
    <w:p>
      <w:pPr/>
      <w:r>
        <w:rPr>
          <w:rStyle w:val="myStyle"/>
        </w:rPr>
        <w:t xml:space="preserve">　　第二、调研、分析廊坊地区同行业人力资源管理制度，结合实业公司现行制度在执行过程中遇到的问题，对本公司制度进行梳理，建立简明的工作流程、便于落地的政策措施;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2023-05-22T17:33:01+08:00</dcterms:created>
  <dcterms:modified xsi:type="dcterms:W3CDTF">2023-05-22T17:33:01+08:00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