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单位行政人事部2015年年度工作计划</w:t>
      </w:r>
    </w:p>
    <w:p/>
    <w:p/>
    <w:p>
      <w:pPr/>
      <w:r>
        <w:rPr>
          <w:rStyle w:val="myStyle"/>
        </w:rPr>
        <w:t xml:space="preserve">　　根据2012年年度工作情况以及存在的不足，结合目前公司发展状况和今后趋势，行政人事部2013年年度工作计划将从以下几方面开展：</w:t>
      </w:r>
    </w:p>
    <w:p/>
    <w:p>
      <w:pPr/>
      <w:r>
        <w:rPr>
          <w:rStyle w:val="myStyle"/>
        </w:rPr>
        <w:t xml:space="preserve">　　一、 认真学习和贯彻国家及地方新的劳动法律、法规，有针对性的对公司现行制</w:t>
      </w:r>
    </w:p>
    <w:p/>
    <w:p>
      <w:pPr/>
      <w:r>
        <w:rPr>
          <w:rStyle w:val="myStyle"/>
        </w:rPr>
        <w:t xml:space="preserve">　　度及规定进行修改，有效的规避法律风险。</w:t>
      </w:r>
    </w:p>
    <w:p/>
    <w:p>
      <w:pPr/>
      <w:r>
        <w:rPr>
          <w:rStyle w:val="myStyle"/>
        </w:rPr>
        <w:t xml:space="preserve">　　根据广东省十一届人大常委会第38次会议表决通过的《广东省劳动保障监察条例》相关规定，从2013年5月1日起用人单位规章制度中有罚款内容将被警告，而乱扣工资将按照被罚款或者扣减工资的人数每人2000元以上5000元以下的标准处以罚款。</w:t>
      </w:r>
    </w:p>
    <w:p/>
    <w:p>
      <w:pPr/>
      <w:r>
        <w:rPr>
          <w:rStyle w:val="myStyle"/>
        </w:rPr>
        <w:t xml:space="preserve">　　从新出台的《广东省劳动保障监察条例》来看，我司现行的绝大部分制度将面临修改，特别是《员工手册》、《工作行为管理制度》、《行政人事奖惩制度》、《员工宿舍管理规定》、《公司例会制度》、《安全生产管理》、《安全生产奖惩制度》诸多内容将重新修订，并且必须在2013年第一季度修订完成，保证在2013年5月1日能够执行新的厂纪厂规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2023-05-22T19:47:35+08:00</dcterms:created>
  <dcterms:modified xsi:type="dcterms:W3CDTF">2023-05-22T19:47:35+08:00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